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60.0" w:type="dxa"/>
        <w:jc w:val="left"/>
        <w:tblInd w:w="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060"/>
        <w:tblGridChange w:id="0">
          <w:tblGrid>
            <w:gridCol w:w="3060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Período de participação: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br w:type="textWrapping"/>
        <w:t xml:space="preserve">1. DADOS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Monitor: 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Orientador: 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Disciplina ou Matéria: 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Departamento / Área: 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ROTEIRO PARA A ELABORAÇÃO DO RELATÓRIO PELO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(utilizar folhas adicionais, para acrescentar outras informações pertinentes)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Metodologias utilizadas;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Atividades planejadas realizadas durante o período;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Outras atividades realizadas;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Objetivos atingidos (ou não) e justificativas (se pertinente);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Dificuldades enfrentadas e sugestões para solucioná-las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Conclusões.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     3. AVALIAÇÃO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(A ser preenchido pelo Orientador)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Foi assíduo?</w:t>
        <w:tab/>
        <w:tab/>
        <w:tab/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Foi pontual?</w:t>
        <w:tab/>
        <w:tab/>
        <w:tab/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Bom domínio do conteúdo da(s) disciplina(s)? </w:t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Bom relacionamento / interação com os alunos?</w:t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Bom relacionamento com demais professores?</w:t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Executa corretamente as tarefas?</w:t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Possui boa iniciativa?</w:t>
        <w:tab/>
        <w:tab/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Evolução satisfatória no desempenho 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Orientador recomenda prorrogação? (se pertinente)</w:t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505450" cy="100965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284700"/>
                          <a:ext cx="5486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Observações: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505450" cy="10096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Serra Talhada, ____/ _____/ 20___.</w:t>
        <w:tab/>
        <w:tab/>
        <w:t xml:space="preserve">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Professor Orientador</w:t>
      </w:r>
    </w:p>
    <w:sectPr>
      <w:headerReference r:id="rId8" w:type="default"/>
      <w:footerReference r:id="rId9" w:type="default"/>
      <w:pgSz w:h="15842" w:w="12242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14A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31.0" w:type="dxa"/>
      <w:jc w:val="center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85775" cy="61976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19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6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RELATÓRIO FINAL -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TUTORIA DISCENTE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C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D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F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30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4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rtl w:val="0"/>
            </w:rPr>
            <w:t xml:space="preserve">14A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5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0Nhece3a6wCRldV7o3SNajcC0Q==">AMUW2mWa5s4HAe/fFutjWk/jnHF6OJiRWBG7lDfqvR/BAKWYCc0yAQE/Ceeharg+ekBAbvN5Emp51aP5d044C04qOKh0v3ydPzXE0hOkVh3BTzqVwb/5QLc=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2020-07-09T17:09:00Z</dcterms:created>
  <dc:creator>Apoio Didático</dc:creator>
</cp:coreProperties>
</file>